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Default="00EA2676" w:rsidP="00EA2676">
      <w:pPr>
        <w:rPr>
          <w:rFonts w:ascii="Arial" w:hAnsi="Arial" w:cs="Arial"/>
          <w:b/>
        </w:rPr>
      </w:pPr>
      <w:r>
        <w:rPr>
          <w:rFonts w:ascii="Arial" w:hAnsi="Arial" w:cs="Arial"/>
          <w:b/>
        </w:rPr>
        <w:t>LANGUAGE ARTS 10</w:t>
      </w:r>
      <w:r>
        <w:rPr>
          <w:rFonts w:ascii="Arial" w:hAnsi="Arial" w:cs="Arial"/>
          <w:b/>
        </w:rPr>
        <w:br/>
        <w:t>MASS HYSTERIA</w:t>
      </w:r>
    </w:p>
    <w:p w:rsidR="00EA2676" w:rsidRDefault="00EA2676" w:rsidP="00EA2676">
      <w:pPr>
        <w:rPr>
          <w:rFonts w:cs="Times New Roman"/>
        </w:rPr>
      </w:pPr>
      <w:r>
        <w:rPr>
          <w:rFonts w:cs="Times New Roman"/>
        </w:rPr>
        <w:t xml:space="preserve">Mass hysteria is a dangerous thing—as you can see in </w:t>
      </w:r>
      <w:r>
        <w:rPr>
          <w:rFonts w:cs="Times New Roman"/>
          <w:i/>
        </w:rPr>
        <w:t>The Crucible</w:t>
      </w:r>
      <w:r>
        <w:rPr>
          <w:rFonts w:cs="Times New Roman"/>
        </w:rPr>
        <w:t xml:space="preserve">.  </w:t>
      </w:r>
      <w:r w:rsidR="00BC139C">
        <w:rPr>
          <w:rFonts w:cs="Times New Roman"/>
        </w:rPr>
        <w:t>The panic, fear, and anxiety that are brought upon by mass hysteria are what make it so dangerous.  People become completely emotional and lose all sense of rational thinking.</w:t>
      </w:r>
    </w:p>
    <w:p w:rsidR="00BC139C" w:rsidRDefault="00BC139C" w:rsidP="00EA2676">
      <w:pPr>
        <w:rPr>
          <w:rFonts w:cs="Times New Roman"/>
        </w:rPr>
      </w:pPr>
      <w:r>
        <w:rPr>
          <w:rFonts w:cs="Times New Roman"/>
        </w:rPr>
        <w:t xml:space="preserve">Just like a snowball or a line of dominos, once the initial idea has been “set in motion”, it is difficult to stop it and undo the damage.  This is why law enforcement quickly has to “control the situation” when chaos breaks out.  Chaos leads to emotional, not rational, decision-making.  Emotional decision-making is rarely a good idea.  </w:t>
      </w:r>
    </w:p>
    <w:p w:rsidR="00296972" w:rsidRDefault="00BC139C" w:rsidP="00EA2676">
      <w:pPr>
        <w:rPr>
          <w:rFonts w:cs="Times New Roman"/>
        </w:rPr>
      </w:pPr>
      <w:r>
        <w:rPr>
          <w:rFonts w:cs="Times New Roman"/>
        </w:rPr>
        <w:t xml:space="preserve">This is exactly what happens in </w:t>
      </w:r>
      <w:r>
        <w:rPr>
          <w:rFonts w:cs="Times New Roman"/>
          <w:i/>
        </w:rPr>
        <w:t>The Crucible</w:t>
      </w:r>
      <w:r>
        <w:rPr>
          <w:rFonts w:cs="Times New Roman"/>
        </w:rPr>
        <w:t xml:space="preserve">.  In 1692, the settlement living in Salem followed Puritanical ideology.  </w:t>
      </w:r>
      <w:r w:rsidR="00296972">
        <w:rPr>
          <w:rFonts w:cs="Times New Roman"/>
        </w:rPr>
        <w:t xml:space="preserve">It was very black and white thinking.  You were either “pure” (with God) or you weren’t (against God).  One day, a slave woman takes the young girls into the woods to share her culture with them.  They had fun—they danced and they sang.  The next day, </w:t>
      </w:r>
      <w:r>
        <w:rPr>
          <w:rFonts w:cs="Times New Roman"/>
        </w:rPr>
        <w:t>Betty gets si</w:t>
      </w:r>
      <w:r w:rsidR="00296972">
        <w:rPr>
          <w:rFonts w:cs="Times New Roman"/>
        </w:rPr>
        <w:t>ck.  No one knows why.  It must be witchcraft!  The gossip and rumor mill starts churning out ideas.  They spread like wildfire.  And then there is this girl, Abigail</w:t>
      </w:r>
      <w:r w:rsidR="00942666">
        <w:rPr>
          <w:rFonts w:cs="Times New Roman"/>
        </w:rPr>
        <w:t>,</w:t>
      </w:r>
      <w:r w:rsidR="00296972">
        <w:rPr>
          <w:rFonts w:cs="Times New Roman"/>
        </w:rPr>
        <w:t xml:space="preserve"> who is scorn</w:t>
      </w:r>
      <w:bookmarkStart w:id="0" w:name="_GoBack"/>
      <w:bookmarkEnd w:id="0"/>
      <w:r w:rsidR="00296972">
        <w:rPr>
          <w:rFonts w:cs="Times New Roman"/>
        </w:rPr>
        <w:t>ed that her affair with a married man has ended.  He decided to stay with his wife.  Abigail is confronted with the rumors, the embarrassment of being caught</w:t>
      </w:r>
      <w:r w:rsidR="00942666">
        <w:rPr>
          <w:rFonts w:cs="Times New Roman"/>
        </w:rPr>
        <w:t xml:space="preserve"> dancing in the woods</w:t>
      </w:r>
      <w:r w:rsidR="00296972">
        <w:rPr>
          <w:rFonts w:cs="Times New Roman"/>
        </w:rPr>
        <w:t xml:space="preserve">, and the scorn from being rejected.  She sees an opportunity to capitalize on the rumors, get the heat off her for being caught, and </w:t>
      </w:r>
      <w:proofErr w:type="gramStart"/>
      <w:r w:rsidR="00296972">
        <w:rPr>
          <w:rFonts w:cs="Times New Roman"/>
        </w:rPr>
        <w:t>get</w:t>
      </w:r>
      <w:proofErr w:type="gramEnd"/>
      <w:r w:rsidR="00296972">
        <w:rPr>
          <w:rFonts w:cs="Times New Roman"/>
        </w:rPr>
        <w:t xml:space="preserve"> revenge—all at the same time.</w:t>
      </w:r>
    </w:p>
    <w:p w:rsidR="00F9642A" w:rsidRPr="00F9642A" w:rsidRDefault="00F9642A" w:rsidP="00EA2676">
      <w:pPr>
        <w:rPr>
          <w:rFonts w:cs="Times New Roman"/>
        </w:rPr>
      </w:pPr>
      <w:r>
        <w:rPr>
          <w:rFonts w:cs="Times New Roman"/>
          <w:u w:val="single"/>
        </w:rPr>
        <w:br/>
        <w:t>DIRECTIONS:</w:t>
      </w:r>
      <w:r>
        <w:rPr>
          <w:rFonts w:cs="Times New Roman"/>
        </w:rPr>
        <w:t xml:space="preserve"> In your table groups, take 5 minutes to find an example or two of mass hysteria.</w:t>
      </w:r>
    </w:p>
    <w:tbl>
      <w:tblPr>
        <w:tblStyle w:val="TableGrid"/>
        <w:tblW w:w="0" w:type="auto"/>
        <w:tblLook w:val="04A0" w:firstRow="1" w:lastRow="0" w:firstColumn="1" w:lastColumn="0" w:noHBand="0" w:noVBand="1"/>
      </w:tblPr>
      <w:tblGrid>
        <w:gridCol w:w="1098"/>
        <w:gridCol w:w="5286"/>
        <w:gridCol w:w="3192"/>
      </w:tblGrid>
      <w:tr w:rsidR="007460EF" w:rsidTr="007460EF">
        <w:tc>
          <w:tcPr>
            <w:tcW w:w="1098" w:type="dxa"/>
          </w:tcPr>
          <w:p w:rsidR="007460EF" w:rsidRPr="00F9642A" w:rsidRDefault="007460EF" w:rsidP="00EA2676">
            <w:pPr>
              <w:rPr>
                <w:rFonts w:cs="Times New Roman"/>
                <w:b/>
              </w:rPr>
            </w:pPr>
            <w:r w:rsidRPr="00F9642A">
              <w:rPr>
                <w:rFonts w:cs="Times New Roman"/>
                <w:b/>
              </w:rPr>
              <w:t>Page #</w:t>
            </w:r>
          </w:p>
        </w:tc>
        <w:tc>
          <w:tcPr>
            <w:tcW w:w="5286" w:type="dxa"/>
          </w:tcPr>
          <w:p w:rsidR="007460EF" w:rsidRPr="00F9642A" w:rsidRDefault="007460EF" w:rsidP="00EA2676">
            <w:pPr>
              <w:rPr>
                <w:rFonts w:cs="Times New Roman"/>
                <w:b/>
              </w:rPr>
            </w:pPr>
            <w:r w:rsidRPr="00F9642A">
              <w:rPr>
                <w:rFonts w:cs="Times New Roman"/>
                <w:b/>
              </w:rPr>
              <w:t>Situation (facts)</w:t>
            </w:r>
          </w:p>
        </w:tc>
        <w:tc>
          <w:tcPr>
            <w:tcW w:w="3192" w:type="dxa"/>
          </w:tcPr>
          <w:p w:rsidR="007460EF" w:rsidRPr="00F9642A" w:rsidRDefault="007460EF" w:rsidP="007460EF">
            <w:pPr>
              <w:rPr>
                <w:rFonts w:cs="Times New Roman"/>
                <w:b/>
              </w:rPr>
            </w:pPr>
            <w:r w:rsidRPr="00F9642A">
              <w:rPr>
                <w:rFonts w:cs="Times New Roman"/>
                <w:b/>
              </w:rPr>
              <w:t>Result of Situation</w:t>
            </w:r>
          </w:p>
        </w:tc>
      </w:tr>
      <w:tr w:rsidR="007460EF" w:rsidTr="00F9642A">
        <w:trPr>
          <w:trHeight w:val="1008"/>
        </w:trPr>
        <w:tc>
          <w:tcPr>
            <w:tcW w:w="1098" w:type="dxa"/>
            <w:vAlign w:val="center"/>
          </w:tcPr>
          <w:p w:rsidR="007460EF" w:rsidRDefault="007460EF" w:rsidP="007460EF">
            <w:pPr>
              <w:jc w:val="center"/>
              <w:rPr>
                <w:rFonts w:cs="Times New Roman"/>
              </w:rPr>
            </w:pPr>
            <w:r>
              <w:rPr>
                <w:rFonts w:cs="Times New Roman"/>
              </w:rPr>
              <w:t>9</w:t>
            </w:r>
          </w:p>
        </w:tc>
        <w:tc>
          <w:tcPr>
            <w:tcW w:w="5286" w:type="dxa"/>
            <w:vAlign w:val="center"/>
          </w:tcPr>
          <w:p w:rsidR="007460EF" w:rsidRDefault="007460EF" w:rsidP="00F9642A">
            <w:pPr>
              <w:rPr>
                <w:rFonts w:cs="Times New Roman"/>
              </w:rPr>
            </w:pPr>
            <w:r>
              <w:rPr>
                <w:rFonts w:cs="Times New Roman"/>
              </w:rPr>
              <w:t>Betty won’t wake up and the doctor says unnatural causes might be the cause.  Parris sends for Rev. Hale to find other causes.</w:t>
            </w:r>
          </w:p>
        </w:tc>
        <w:tc>
          <w:tcPr>
            <w:tcW w:w="3192" w:type="dxa"/>
            <w:vAlign w:val="center"/>
          </w:tcPr>
          <w:p w:rsidR="007460EF" w:rsidRDefault="007460EF" w:rsidP="00F9642A">
            <w:pPr>
              <w:rPr>
                <w:rFonts w:cs="Times New Roman"/>
              </w:rPr>
            </w:pPr>
            <w:r>
              <w:rPr>
                <w:rFonts w:cs="Times New Roman"/>
              </w:rPr>
              <w:t>The seeking of a Reverend further confirms</w:t>
            </w:r>
            <w:r>
              <w:rPr>
                <w:rFonts w:cs="Times New Roman"/>
              </w:rPr>
              <w:t xml:space="preserve"> the rumor in the village of witchcraft.</w:t>
            </w:r>
          </w:p>
        </w:tc>
      </w:tr>
      <w:tr w:rsidR="007460EF" w:rsidTr="00F9642A">
        <w:trPr>
          <w:trHeight w:val="1152"/>
        </w:trPr>
        <w:tc>
          <w:tcPr>
            <w:tcW w:w="1098" w:type="dxa"/>
          </w:tcPr>
          <w:p w:rsidR="007460EF" w:rsidRDefault="007460EF" w:rsidP="00EA2676">
            <w:pPr>
              <w:rPr>
                <w:rFonts w:cs="Times New Roman"/>
              </w:rPr>
            </w:pPr>
          </w:p>
        </w:tc>
        <w:tc>
          <w:tcPr>
            <w:tcW w:w="5286" w:type="dxa"/>
          </w:tcPr>
          <w:p w:rsidR="007460EF" w:rsidRDefault="007460EF" w:rsidP="00EA2676">
            <w:pPr>
              <w:rPr>
                <w:rFonts w:cs="Times New Roman"/>
              </w:rPr>
            </w:pPr>
          </w:p>
        </w:tc>
        <w:tc>
          <w:tcPr>
            <w:tcW w:w="3192" w:type="dxa"/>
          </w:tcPr>
          <w:p w:rsidR="007460EF" w:rsidRDefault="007460EF" w:rsidP="00EA2676">
            <w:pPr>
              <w:rPr>
                <w:rFonts w:cs="Times New Roman"/>
              </w:rPr>
            </w:pPr>
          </w:p>
        </w:tc>
      </w:tr>
      <w:tr w:rsidR="007460EF" w:rsidTr="00F9642A">
        <w:trPr>
          <w:trHeight w:val="1152"/>
        </w:trPr>
        <w:tc>
          <w:tcPr>
            <w:tcW w:w="1098" w:type="dxa"/>
          </w:tcPr>
          <w:p w:rsidR="007460EF" w:rsidRDefault="007460EF" w:rsidP="00EA2676">
            <w:pPr>
              <w:rPr>
                <w:rFonts w:cs="Times New Roman"/>
              </w:rPr>
            </w:pPr>
          </w:p>
        </w:tc>
        <w:tc>
          <w:tcPr>
            <w:tcW w:w="5286" w:type="dxa"/>
          </w:tcPr>
          <w:p w:rsidR="007460EF" w:rsidRDefault="007460EF" w:rsidP="00EA2676">
            <w:pPr>
              <w:rPr>
                <w:rFonts w:cs="Times New Roman"/>
              </w:rPr>
            </w:pPr>
          </w:p>
        </w:tc>
        <w:tc>
          <w:tcPr>
            <w:tcW w:w="3192" w:type="dxa"/>
          </w:tcPr>
          <w:p w:rsidR="007460EF" w:rsidRDefault="007460EF" w:rsidP="00EA2676">
            <w:pPr>
              <w:rPr>
                <w:rFonts w:cs="Times New Roman"/>
              </w:rPr>
            </w:pPr>
          </w:p>
        </w:tc>
      </w:tr>
      <w:tr w:rsidR="007460EF" w:rsidTr="00F9642A">
        <w:trPr>
          <w:trHeight w:val="1152"/>
        </w:trPr>
        <w:tc>
          <w:tcPr>
            <w:tcW w:w="1098" w:type="dxa"/>
          </w:tcPr>
          <w:p w:rsidR="007460EF" w:rsidRDefault="007460EF" w:rsidP="00EA2676">
            <w:pPr>
              <w:rPr>
                <w:rFonts w:cs="Times New Roman"/>
              </w:rPr>
            </w:pPr>
          </w:p>
        </w:tc>
        <w:tc>
          <w:tcPr>
            <w:tcW w:w="5286" w:type="dxa"/>
          </w:tcPr>
          <w:p w:rsidR="007460EF" w:rsidRDefault="007460EF" w:rsidP="00EA2676">
            <w:pPr>
              <w:rPr>
                <w:rFonts w:cs="Times New Roman"/>
              </w:rPr>
            </w:pPr>
          </w:p>
        </w:tc>
        <w:tc>
          <w:tcPr>
            <w:tcW w:w="3192" w:type="dxa"/>
          </w:tcPr>
          <w:p w:rsidR="007460EF" w:rsidRDefault="007460EF" w:rsidP="00EA2676">
            <w:pPr>
              <w:rPr>
                <w:rFonts w:cs="Times New Roman"/>
              </w:rPr>
            </w:pPr>
          </w:p>
        </w:tc>
      </w:tr>
    </w:tbl>
    <w:p w:rsidR="00296972" w:rsidRPr="00BC139C" w:rsidRDefault="00296972" w:rsidP="00F9642A">
      <w:pPr>
        <w:rPr>
          <w:rFonts w:cs="Times New Roman"/>
        </w:rPr>
      </w:pPr>
    </w:p>
    <w:sectPr w:rsidR="00296972" w:rsidRPr="00BC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76"/>
    <w:rsid w:val="000C301B"/>
    <w:rsid w:val="00296972"/>
    <w:rsid w:val="007460EF"/>
    <w:rsid w:val="00942666"/>
    <w:rsid w:val="00BC139C"/>
    <w:rsid w:val="00E56E72"/>
    <w:rsid w:val="00EA2676"/>
    <w:rsid w:val="00F85CA3"/>
    <w:rsid w:val="00F9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2</cp:revision>
  <dcterms:created xsi:type="dcterms:W3CDTF">2013-02-18T21:39:00Z</dcterms:created>
  <dcterms:modified xsi:type="dcterms:W3CDTF">2013-02-18T22:33:00Z</dcterms:modified>
</cp:coreProperties>
</file>