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D9" w:rsidRDefault="009A6652">
      <w:pPr>
        <w:rPr>
          <w:rFonts w:cs="Times New Roman"/>
        </w:rPr>
      </w:pPr>
      <w:r>
        <w:rPr>
          <w:rFonts w:ascii="Arial" w:hAnsi="Arial" w:cs="Arial"/>
          <w:b/>
        </w:rPr>
        <w:t>LANGUAGE ARTS 10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i/>
        </w:rPr>
        <w:t>THE CRUCIBLE</w:t>
      </w:r>
      <w:r>
        <w:rPr>
          <w:rFonts w:ascii="Arial" w:hAnsi="Arial" w:cs="Arial"/>
          <w:b/>
        </w:rPr>
        <w:t xml:space="preserve"> READING SCHEDULE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cs="Times New Roman"/>
        </w:rPr>
        <w:t>Things happen.  Sometimes you are unable to make it to school or</w:t>
      </w:r>
      <w:r w:rsidR="0092432C">
        <w:rPr>
          <w:rFonts w:cs="Times New Roman"/>
        </w:rPr>
        <w:t xml:space="preserve"> sometimes</w:t>
      </w:r>
      <w:r>
        <w:rPr>
          <w:rFonts w:cs="Times New Roman"/>
        </w:rPr>
        <w:t xml:space="preserve"> </w:t>
      </w:r>
      <w:r w:rsidR="0092432C">
        <w:rPr>
          <w:rFonts w:cs="Times New Roman"/>
        </w:rPr>
        <w:t>one of your parents</w:t>
      </w:r>
      <w:r>
        <w:rPr>
          <w:rFonts w:cs="Times New Roman"/>
        </w:rPr>
        <w:t xml:space="preserve"> scheduled an appointment three months ago and you cannot change it.  I understand.  However, “I wasn’t here yesterday</w:t>
      </w:r>
      <w:r w:rsidR="0092432C">
        <w:rPr>
          <w:rFonts w:cs="Times New Roman"/>
        </w:rPr>
        <w:t>,</w:t>
      </w:r>
      <w:r>
        <w:rPr>
          <w:rFonts w:cs="Times New Roman"/>
        </w:rPr>
        <w:t xml:space="preserve">” will not be an excuse for you </w:t>
      </w:r>
      <w:r w:rsidR="00FC455B">
        <w:rPr>
          <w:rFonts w:cs="Times New Roman"/>
        </w:rPr>
        <w:t>not keeping up with the</w:t>
      </w:r>
      <w:r w:rsidR="007641D9">
        <w:rPr>
          <w:rFonts w:cs="Times New Roman"/>
        </w:rPr>
        <w:t xml:space="preserve"> plot</w:t>
      </w:r>
      <w:r>
        <w:rPr>
          <w:rFonts w:cs="Times New Roman"/>
        </w:rPr>
        <w:t xml:space="preserve">.  The following is </w:t>
      </w:r>
      <w:r w:rsidR="007641D9">
        <w:rPr>
          <w:rFonts w:cs="Times New Roman"/>
        </w:rPr>
        <w:t xml:space="preserve">a tentative schedule of which days we will be listening to </w:t>
      </w:r>
      <w:r w:rsidR="007641D9">
        <w:rPr>
          <w:rFonts w:cs="Times New Roman"/>
        </w:rPr>
        <w:t>the four acts</w:t>
      </w:r>
      <w:r w:rsidR="007641D9">
        <w:rPr>
          <w:rFonts w:cs="Times New Roman"/>
        </w:rPr>
        <w:t xml:space="preserve"> of </w:t>
      </w:r>
      <w:r w:rsidR="007641D9">
        <w:rPr>
          <w:rFonts w:cs="Times New Roman"/>
          <w:i/>
        </w:rPr>
        <w:t>The Crucible</w:t>
      </w:r>
      <w:r w:rsidR="007641D9">
        <w:rPr>
          <w:rFonts w:cs="Times New Roman"/>
        </w:rPr>
        <w:t xml:space="preserve"> </w:t>
      </w:r>
      <w:r w:rsidR="007641D9">
        <w:rPr>
          <w:rFonts w:cs="Times New Roman"/>
        </w:rPr>
        <w:t>in class</w:t>
      </w:r>
      <w:r>
        <w:rPr>
          <w:rFonts w:cs="Times New Roman"/>
        </w:rPr>
        <w:t xml:space="preserve">.  </w:t>
      </w:r>
      <w:r w:rsidR="007641D9">
        <w:rPr>
          <w:rFonts w:cs="Times New Roman"/>
        </w:rPr>
        <w:t>If you miss a day in which we listened to an act, you will have to read it on your own time</w:t>
      </w:r>
      <w:r w:rsidR="007641D9">
        <w:rPr>
          <w:rFonts w:cs="Times New Roman"/>
        </w:rPr>
        <w:t>.  Additionally, you should</w:t>
      </w:r>
      <w:r w:rsidR="009C6233">
        <w:rPr>
          <w:rFonts w:cs="Times New Roman"/>
        </w:rPr>
        <w:t xml:space="preserve"> check my Weebly site for </w:t>
      </w:r>
      <w:r w:rsidR="007641D9">
        <w:rPr>
          <w:rFonts w:cs="Times New Roman"/>
        </w:rPr>
        <w:t xml:space="preserve">any other </w:t>
      </w:r>
      <w:r w:rsidR="009C6233">
        <w:rPr>
          <w:rFonts w:cs="Times New Roman"/>
        </w:rPr>
        <w:t>information as well (</w:t>
      </w:r>
      <w:hyperlink r:id="rId5" w:history="1">
        <w:r w:rsidR="009C6233" w:rsidRPr="00176960">
          <w:rPr>
            <w:rStyle w:val="Hyperlink"/>
            <w:rFonts w:cs="Times New Roman"/>
          </w:rPr>
          <w:t>http://msdavisedu.weebly.com</w:t>
        </w:r>
      </w:hyperlink>
      <w:r w:rsidR="009C6233">
        <w:rPr>
          <w:rFonts w:cs="Times New Roman"/>
        </w:rPr>
        <w:t>).</w:t>
      </w:r>
      <w:r w:rsidR="0092432C">
        <w:rPr>
          <w:rFonts w:cs="Times New Roman"/>
        </w:rPr>
        <w:br/>
      </w:r>
      <w:r w:rsidR="0092432C">
        <w:rPr>
          <w:rFonts w:cs="Times New Roman"/>
        </w:rPr>
        <w:br/>
      </w:r>
      <w:r w:rsidR="007641D9">
        <w:rPr>
          <w:rFonts w:cs="Times New Roman"/>
        </w:rPr>
        <w:t>If we do not finish the act in class, you will h</w:t>
      </w:r>
      <w:r w:rsidR="007641D9">
        <w:rPr>
          <w:rFonts w:cs="Times New Roman"/>
        </w:rPr>
        <w:t>ave to finish it for homework.  You may want to read it ahead of time or re-read it afterwards in order to annotate it well.</w:t>
      </w:r>
    </w:p>
    <w:p w:rsidR="003C2F7E" w:rsidRPr="009C6233" w:rsidRDefault="009C6233">
      <w:pPr>
        <w:rPr>
          <w:rFonts w:cs="Times New Roman"/>
        </w:rPr>
      </w:pPr>
      <w:r>
        <w:rPr>
          <w:rFonts w:cs="Times New Roman"/>
        </w:rPr>
        <w:t xml:space="preserve">Another reminder: You </w:t>
      </w:r>
      <w:r>
        <w:rPr>
          <w:rFonts w:cs="Times New Roman"/>
          <w:b/>
          <w:u w:val="single"/>
        </w:rPr>
        <w:t>cannot</w:t>
      </w:r>
      <w:r>
        <w:rPr>
          <w:rFonts w:cs="Times New Roman"/>
        </w:rPr>
        <w:t xml:space="preserve"> read </w:t>
      </w:r>
      <w:r>
        <w:rPr>
          <w:rFonts w:cs="Times New Roman"/>
          <w:i/>
        </w:rPr>
        <w:t>The Crucible</w:t>
      </w:r>
      <w:r>
        <w:rPr>
          <w:rFonts w:cs="Times New Roman"/>
        </w:rPr>
        <w:t xml:space="preserve"> during reading workshop on Fridays.  You </w:t>
      </w:r>
      <w:r>
        <w:rPr>
          <w:rFonts w:cs="Times New Roman"/>
          <w:b/>
          <w:u w:val="single"/>
        </w:rPr>
        <w:t>must</w:t>
      </w:r>
      <w:r>
        <w:rPr>
          <w:rFonts w:cs="Times New Roman"/>
        </w:rPr>
        <w:t xml:space="preserve"> bring your independent reading book.  You will lose your 5 points for reading workshop if you try to read </w:t>
      </w:r>
      <w:r>
        <w:rPr>
          <w:rFonts w:cs="Times New Roman"/>
          <w:i/>
        </w:rPr>
        <w:t>The Crucible</w:t>
      </w:r>
      <w:r>
        <w:rPr>
          <w:rFonts w:cs="Times New Roman"/>
        </w:rPr>
        <w:t xml:space="preserve">.  </w:t>
      </w:r>
      <w:r w:rsidR="00FC455B">
        <w:rPr>
          <w:rFonts w:cs="Times New Roman"/>
        </w:rPr>
        <w:t>I</w:t>
      </w:r>
      <w:r>
        <w:rPr>
          <w:rFonts w:cs="Times New Roman"/>
        </w:rPr>
        <w:t>f y</w:t>
      </w:r>
      <w:r w:rsidR="00FC455B">
        <w:rPr>
          <w:rFonts w:cs="Times New Roman"/>
        </w:rPr>
        <w:t>ou forget your independent book,</w:t>
      </w:r>
      <w:r>
        <w:rPr>
          <w:rFonts w:cs="Times New Roman"/>
        </w:rPr>
        <w:t xml:space="preserve"> you will have to read one of the books on Mrs. Martin’s bookshelf.</w:t>
      </w:r>
      <w:r w:rsidR="00FC455B">
        <w:rPr>
          <w:rFonts w:cs="Times New Roman"/>
        </w:rPr>
        <w:t xml:space="preserve"> </w:t>
      </w:r>
      <w:r w:rsidR="00FC455B">
        <w:rPr>
          <w:rFonts w:cs="Times New Roman"/>
        </w:rPr>
        <w:br/>
      </w:r>
    </w:p>
    <w:p w:rsidR="009C6233" w:rsidRPr="003C2F7E" w:rsidRDefault="003C2F7E">
      <w:pPr>
        <w:rPr>
          <w:rFonts w:cs="Times New Roman"/>
          <w:b/>
          <w:sz w:val="28"/>
          <w:szCs w:val="28"/>
        </w:rPr>
      </w:pPr>
      <w:r w:rsidRPr="003C2F7E">
        <w:rPr>
          <w:rFonts w:cs="Times New Roman"/>
          <w:b/>
          <w:sz w:val="28"/>
          <w:szCs w:val="28"/>
        </w:rPr>
        <w:t>February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C6233" w:rsidTr="009C6233">
        <w:tc>
          <w:tcPr>
            <w:tcW w:w="1882" w:type="dxa"/>
          </w:tcPr>
          <w:p w:rsidR="009C6233" w:rsidRDefault="009C6233">
            <w:pPr>
              <w:rPr>
                <w:rFonts w:cs="Times New Roman"/>
              </w:rPr>
            </w:pPr>
            <w:r>
              <w:rPr>
                <w:rFonts w:cs="Times New Roman"/>
              </w:rPr>
              <w:t>Monday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</w:rPr>
            </w:pPr>
            <w:r>
              <w:rPr>
                <w:rFonts w:cs="Times New Roman"/>
              </w:rPr>
              <w:t>Tuesday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</w:rPr>
            </w:pPr>
            <w:r>
              <w:rPr>
                <w:rFonts w:cs="Times New Roman"/>
              </w:rPr>
              <w:t>Wednesday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</w:rPr>
            </w:pPr>
            <w:r>
              <w:rPr>
                <w:rFonts w:cs="Times New Roman"/>
              </w:rPr>
              <w:t>Thursday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</w:rPr>
            </w:pPr>
            <w:r>
              <w:rPr>
                <w:rFonts w:cs="Times New Roman"/>
              </w:rPr>
              <w:t>Friday</w:t>
            </w:r>
          </w:p>
        </w:tc>
        <w:tc>
          <w:tcPr>
            <w:tcW w:w="1883" w:type="dxa"/>
          </w:tcPr>
          <w:p w:rsidR="009C6233" w:rsidRDefault="009C6233">
            <w:pPr>
              <w:rPr>
                <w:rFonts w:cs="Times New Roman"/>
              </w:rPr>
            </w:pPr>
            <w:r>
              <w:rPr>
                <w:rFonts w:cs="Times New Roman"/>
              </w:rPr>
              <w:t>Saturday</w:t>
            </w:r>
          </w:p>
        </w:tc>
        <w:tc>
          <w:tcPr>
            <w:tcW w:w="1883" w:type="dxa"/>
          </w:tcPr>
          <w:p w:rsidR="009C6233" w:rsidRDefault="009C6233">
            <w:pPr>
              <w:rPr>
                <w:rFonts w:cs="Times New Roman"/>
              </w:rPr>
            </w:pPr>
            <w:r>
              <w:rPr>
                <w:rFonts w:cs="Times New Roman"/>
              </w:rPr>
              <w:t>Sunday</w:t>
            </w:r>
          </w:p>
        </w:tc>
      </w:tr>
      <w:tr w:rsidR="009C6233" w:rsidTr="009C6233">
        <w:tc>
          <w:tcPr>
            <w:tcW w:w="1882" w:type="dxa"/>
          </w:tcPr>
          <w:p w:rsidR="009C6233" w:rsidRPr="009C6233" w:rsidRDefault="009C6233">
            <w:pPr>
              <w:rPr>
                <w:rFonts w:cs="Times New Roman"/>
                <w:b/>
              </w:rPr>
            </w:pPr>
            <w:r w:rsidRPr="009C6233">
              <w:rPr>
                <w:rFonts w:cs="Times New Roman"/>
                <w:b/>
              </w:rPr>
              <w:t>4</w:t>
            </w:r>
          </w:p>
          <w:p w:rsidR="009C6233" w:rsidRDefault="00046D5C" w:rsidP="00046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Act 1</w:t>
            </w:r>
          </w:p>
          <w:p w:rsidR="009C6233" w:rsidRPr="00046D5C" w:rsidRDefault="009C6233">
            <w:pPr>
              <w:rPr>
                <w:rFonts w:cs="Times New Roman"/>
              </w:rPr>
            </w:pP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 w:rsidRPr="009C6233">
              <w:rPr>
                <w:rFonts w:cs="Times New Roman"/>
                <w:b/>
              </w:rPr>
              <w:t>5</w:t>
            </w:r>
          </w:p>
          <w:p w:rsidR="00046D5C" w:rsidRDefault="00046D5C" w:rsidP="00046D5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Act </w:t>
            </w:r>
            <w:r w:rsidR="003C2F7E">
              <w:rPr>
                <w:rFonts w:cs="Times New Roman"/>
              </w:rPr>
              <w:t>1</w:t>
            </w:r>
          </w:p>
          <w:p w:rsidR="00046D5C" w:rsidRPr="00046D5C" w:rsidRDefault="00046D5C" w:rsidP="00046D5C"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  <w:p w:rsidR="003C2F7E" w:rsidRPr="003C2F7E" w:rsidRDefault="003C2F7E" w:rsidP="003C2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Act 2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  <w:p w:rsidR="003C2F7E" w:rsidRPr="003C2F7E" w:rsidRDefault="003C2F7E" w:rsidP="003C2F7E"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  <w:p w:rsidR="009C6233" w:rsidRPr="009C6233" w:rsidRDefault="009C6233" w:rsidP="003C2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Reading Workshop</w:t>
            </w:r>
          </w:p>
        </w:tc>
        <w:tc>
          <w:tcPr>
            <w:tcW w:w="1883" w:type="dxa"/>
          </w:tcPr>
          <w:p w:rsidR="009C6233" w:rsidRP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</w:t>
            </w:r>
          </w:p>
        </w:tc>
        <w:tc>
          <w:tcPr>
            <w:tcW w:w="1883" w:type="dxa"/>
          </w:tcPr>
          <w:p w:rsidR="009C6233" w:rsidRP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</w:tr>
      <w:tr w:rsidR="009C6233" w:rsidTr="009C6233">
        <w:tc>
          <w:tcPr>
            <w:tcW w:w="1882" w:type="dxa"/>
          </w:tcPr>
          <w:p w:rsidR="009C6233" w:rsidRP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  <w:p w:rsidR="009C6233" w:rsidRDefault="009C6233" w:rsidP="00FC455B">
            <w:pPr>
              <w:jc w:val="center"/>
              <w:rPr>
                <w:rFonts w:cs="Times New Roman"/>
              </w:rPr>
            </w:pP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  <w:p w:rsidR="003C2F7E" w:rsidRPr="009C6233" w:rsidRDefault="003C2F7E" w:rsidP="003C2F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Act 3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  <w:p w:rsidR="003C2F7E" w:rsidRPr="003C2F7E" w:rsidRDefault="003C2F7E" w:rsidP="003C2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Act 4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  <w:p w:rsidR="003C2F7E" w:rsidRPr="003C2F7E" w:rsidRDefault="003C2F7E" w:rsidP="003C2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Review</w:t>
            </w:r>
            <w:r w:rsidR="0022726E">
              <w:rPr>
                <w:rFonts w:cs="Times New Roman"/>
              </w:rPr>
              <w:t xml:space="preserve"> Day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15</w:t>
            </w:r>
          </w:p>
          <w:p w:rsidR="009C6233" w:rsidRPr="009C6233" w:rsidRDefault="009C6233" w:rsidP="003C2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Reading Workshop</w:t>
            </w:r>
          </w:p>
        </w:tc>
        <w:tc>
          <w:tcPr>
            <w:tcW w:w="1883" w:type="dxa"/>
          </w:tcPr>
          <w:p w:rsidR="009C6233" w:rsidRP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1883" w:type="dxa"/>
          </w:tcPr>
          <w:p w:rsidR="009C6233" w:rsidRP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17</w:t>
            </w:r>
          </w:p>
        </w:tc>
      </w:tr>
      <w:tr w:rsidR="009C6233" w:rsidTr="009C6233">
        <w:tc>
          <w:tcPr>
            <w:tcW w:w="1882" w:type="dxa"/>
          </w:tcPr>
          <w:p w:rsidR="009C6233" w:rsidRP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  <w:p w:rsidR="009C6233" w:rsidRPr="003C2F7E" w:rsidRDefault="003C2F7E" w:rsidP="003C2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 SCHOOL</w:t>
            </w:r>
          </w:p>
          <w:p w:rsidR="009C6233" w:rsidRDefault="009C6233">
            <w:pPr>
              <w:rPr>
                <w:rFonts w:cs="Times New Roman"/>
                <w:b/>
              </w:rPr>
            </w:pP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  <w:p w:rsidR="003C2F7E" w:rsidRPr="003C2F7E" w:rsidRDefault="003C2F7E" w:rsidP="003C2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NO SCHOOL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</w:t>
            </w:r>
          </w:p>
          <w:p w:rsidR="003C2F7E" w:rsidRPr="003C2F7E" w:rsidRDefault="007641D9" w:rsidP="003C2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i/>
              </w:rPr>
              <w:t xml:space="preserve">The </w:t>
            </w:r>
            <w:r w:rsidRPr="007641D9">
              <w:rPr>
                <w:rFonts w:cs="Times New Roman"/>
                <w:i/>
              </w:rPr>
              <w:t>Crucible</w:t>
            </w:r>
            <w:r>
              <w:rPr>
                <w:rFonts w:cs="Times New Roman"/>
                <w:i/>
              </w:rPr>
              <w:br/>
            </w:r>
            <w:r w:rsidR="003C2F7E" w:rsidRPr="007641D9">
              <w:rPr>
                <w:rFonts w:cs="Times New Roman"/>
              </w:rPr>
              <w:t>Test</w:t>
            </w:r>
            <w:r w:rsidR="0022726E">
              <w:rPr>
                <w:rFonts w:cs="Times New Roman"/>
              </w:rPr>
              <w:t xml:space="preserve"> Day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21</w:t>
            </w:r>
          </w:p>
          <w:p w:rsidR="003C2F7E" w:rsidRPr="003C2F7E" w:rsidRDefault="003C2F7E" w:rsidP="003C2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</w:t>
            </w:r>
            <w:bookmarkStart w:id="0" w:name="_GoBack"/>
            <w:bookmarkEnd w:id="0"/>
            <w:r>
              <w:rPr>
                <w:rFonts w:cs="Times New Roman"/>
              </w:rPr>
              <w:t>gin Close Reading Paper</w:t>
            </w:r>
          </w:p>
        </w:tc>
        <w:tc>
          <w:tcPr>
            <w:tcW w:w="1882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22</w:t>
            </w:r>
          </w:p>
          <w:p w:rsidR="009C6233" w:rsidRDefault="009C6233" w:rsidP="003C2F7E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Reading Workshop</w:t>
            </w:r>
          </w:p>
        </w:tc>
        <w:tc>
          <w:tcPr>
            <w:tcW w:w="1883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1883" w:type="dxa"/>
          </w:tcPr>
          <w:p w:rsidR="009C6233" w:rsidRDefault="009C623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</w:tr>
    </w:tbl>
    <w:p w:rsidR="009C6233" w:rsidRPr="009A6652" w:rsidRDefault="009C6233">
      <w:pPr>
        <w:rPr>
          <w:rFonts w:cs="Times New Roman"/>
        </w:rPr>
      </w:pPr>
    </w:p>
    <w:sectPr w:rsidR="009C6233" w:rsidRPr="009A6652" w:rsidSect="009A66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652"/>
    <w:rsid w:val="00046D5C"/>
    <w:rsid w:val="000C301B"/>
    <w:rsid w:val="0022726E"/>
    <w:rsid w:val="003C2F7E"/>
    <w:rsid w:val="007641D9"/>
    <w:rsid w:val="0092432C"/>
    <w:rsid w:val="009A6652"/>
    <w:rsid w:val="009C6233"/>
    <w:rsid w:val="00E56E72"/>
    <w:rsid w:val="00EA77B4"/>
    <w:rsid w:val="00F85CA3"/>
    <w:rsid w:val="00F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2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C6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sdavisedu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Davis</dc:creator>
  <cp:lastModifiedBy>Kat Davis</cp:lastModifiedBy>
  <cp:revision>3</cp:revision>
  <cp:lastPrinted>2013-02-03T02:13:00Z</cp:lastPrinted>
  <dcterms:created xsi:type="dcterms:W3CDTF">2013-01-29T19:34:00Z</dcterms:created>
  <dcterms:modified xsi:type="dcterms:W3CDTF">2013-02-03T02:14:00Z</dcterms:modified>
</cp:coreProperties>
</file>